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предоставление  субсидий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субъектам деятельности в сфере промышленности Санкт-Петербурга в целях возмещения части затрат,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связанных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участием в международных выставках и ярмарках</w:t>
      </w:r>
      <w:r/>
    </w:p>
    <w:p>
      <w:pPr>
        <w:ind w:firstLine="70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проведения отбора: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.09.202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.11.202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окончания приёма документов: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 производится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промышленной политике, инновациям и торговле Санкт-Петербурга (далее – Комитет)</w:t>
      </w:r>
      <w:r>
        <w:rPr>
          <w:rFonts w:ascii="Times New Roman" w:hAnsi="Times New Roman" w:cs="Times New Roman"/>
          <w:b/>
          <w:sz w:val="28"/>
          <w:szCs w:val="28"/>
        </w:rPr>
        <w:t xml:space="preserve">, место нахождения и 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Новгородская ул., </w:t>
      </w:r>
      <w:r>
        <w:rPr>
          <w:rFonts w:ascii="Times New Roman" w:hAnsi="Times New Roman" w:cs="Times New Roman"/>
          <w:sz w:val="28"/>
          <w:szCs w:val="28"/>
        </w:rPr>
        <w:t xml:space="preserve">д.20</w:t>
      </w:r>
      <w:r>
        <w:rPr>
          <w:rFonts w:ascii="Times New Roman" w:hAnsi="Times New Roman" w:cs="Times New Roman"/>
          <w:sz w:val="28"/>
          <w:szCs w:val="28"/>
        </w:rPr>
        <w:t xml:space="preserve">, литера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, помещение 2-Н,  Санкт-Петербург, 191144, </w:t>
      </w:r>
      <w:r>
        <w:rPr>
          <w:rFonts w:ascii="Times New Roman" w:hAnsi="Times New Roman" w:cs="Times New Roman"/>
          <w:b/>
          <w:sz w:val="28"/>
          <w:szCs w:val="28"/>
        </w:rPr>
        <w:t xml:space="preserve">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info</w:t>
      </w:r>
      <w:r>
        <w:rPr>
          <w:rFonts w:ascii="Times New Roman" w:hAnsi="Times New Roman" w:cs="Times New Roman"/>
          <w:sz w:val="28"/>
          <w:szCs w:val="28"/>
        </w:rPr>
        <w:t xml:space="preserve">@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cipit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gov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spb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ru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субсидий: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является осуществление с 01.01.2023 до 31.12.2023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субсидий </w:t>
      </w:r>
      <w:r>
        <w:rPr>
          <w:rFonts w:ascii="Times New Roman" w:hAnsi="Times New Roman" w:cs="Times New Roman"/>
          <w:sz w:val="28"/>
          <w:szCs w:val="28"/>
        </w:rPr>
        <w:t xml:space="preserve">и(</w:t>
      </w:r>
      <w:r>
        <w:rPr>
          <w:rFonts w:ascii="Times New Roman" w:hAnsi="Times New Roman" w:cs="Times New Roman"/>
          <w:sz w:val="28"/>
          <w:szCs w:val="28"/>
        </w:rPr>
        <w:t xml:space="preserve">или) его аффилированными лицами экспорта товаров, произведенных получателем субсидий, на сумму не менее размера субсидий, предоставленных получателю субсидий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субсидий, утвержденным постановлением Правительства Санкт-Петербурга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01.09.2022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797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Показателями, необходимыми для достижения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показатели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являются: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получателем субсидий и(или) его аффилированными лицами контрактов на поставку продукции, произведенной получателем субсидий, за пределы Российской Федерации, с 01.01.2023 до 31.12.2023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сумму не менее размера субсидий, предоставленных получателю субсидий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Порядком;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размера средней заработной платы каждого работника получателя субсидии (включая его обособленные подразделения, находящиеся на территории Санкт-Петербурга), рассчитываемого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139 Трудового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течение периода со дня принятия решения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даты, по состоянию на которую получателем субсидий формируется отчетность о достижении значений результата и показателей, на уровне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ниже размера минимальной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в Санкт-Петербурге,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соглашением о минимальной заработной плате в Санкт-Петербурге на соответствующий период.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обстоятельств, приводящих к невозможности достижения значений результата и показателя в сроки, определенные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, Комитет по согласованию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получателем субсидий вправе принять решение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соглашение в части продления сроков достижения результата (но не более чем на 24 месяца) без изменения размера субсидий.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достижения результата без изменения размера субсидий Комитет вправе принять решение об уменьшении значений результата и показателей.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Сайт Санкт-Петербургского государственного бюджетного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 развития и поддержки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подведомственного Комитету, на котором обеспечивается проведение отбора: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https://www.crpp.ru.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требования к участникам 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субсидий являются: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Соответствие участника отбора категории отбора, указанной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пункте 1.3 </w:t>
      </w:r>
      <w:r>
        <w:rPr>
          <w:rFonts w:ascii="Times New Roman" w:hAnsi="Times New Roman" w:cs="Times New Roman"/>
          <w:sz w:val="28"/>
          <w:szCs w:val="28"/>
        </w:rPr>
        <w:t xml:space="preserve">Порядка, а именно с</w:t>
      </w:r>
      <w:r>
        <w:rPr>
          <w:rFonts w:ascii="Times New Roman" w:hAnsi="Times New Roman" w:cs="Times New Roman"/>
          <w:sz w:val="28"/>
          <w:szCs w:val="28"/>
        </w:rPr>
        <w:t xml:space="preserve">убсидии предоставляются на безвозмездной и безвозвратной основе юридическим лицам (за исключением государственных (муниципальных) учреждений), зарегистрированным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Санкт-Петербурга и осуществляющим виды экономической деятельности, относящиеся в соответствии с Общероссийским классификатором видов экономической деятельности ОК 029-2014 (КДЕС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ед. 2) к разделу C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исключением: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класса 12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табачных изделий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класса 18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полиграфическая и копирование носителей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класса 19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кокса и нефтепродуктов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класса 33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Ремонт и монтаж машин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- организации).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Документальное подтверждение затрат, понесенных участником отбора.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Возмещению подлежат следующие затраты организаций: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регистрационного сбора </w:t>
      </w:r>
      <w:r>
        <w:rPr>
          <w:rFonts w:ascii="Times New Roman" w:hAnsi="Times New Roman" w:cs="Times New Roman"/>
          <w:sz w:val="28"/>
          <w:szCs w:val="28"/>
        </w:rPr>
        <w:t xml:space="preserve">и(</w:t>
      </w:r>
      <w:r>
        <w:rPr>
          <w:rFonts w:ascii="Times New Roman" w:hAnsi="Times New Roman" w:cs="Times New Roman"/>
          <w:sz w:val="28"/>
          <w:szCs w:val="28"/>
        </w:rPr>
        <w:t xml:space="preserve">или) иных обязательных сборов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взносов за участие в международной выставке и(или) ярмарке;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аренду выставочных площадей, в том числе с учетом особенностей расположения выставочных стендов, подключение к инженерным сетям выставочного комплекса;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монтаж, демонтаж и изготовление выставочных стендов (в том числе изготовление фризовых надписей), изготовление выставочных образцов, аренду оборудования, мебели и технических средств для выставочного стенда, флористическое оформление;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услуги (работы), связанные с участием в международной выставке </w:t>
      </w:r>
      <w:r>
        <w:rPr>
          <w:rFonts w:ascii="Times New Roman" w:hAnsi="Times New Roman" w:cs="Times New Roman"/>
          <w:sz w:val="28"/>
          <w:szCs w:val="28"/>
        </w:rPr>
        <w:t xml:space="preserve">и(</w:t>
      </w:r>
      <w:r>
        <w:rPr>
          <w:rFonts w:ascii="Times New Roman" w:hAnsi="Times New Roman" w:cs="Times New Roman"/>
          <w:sz w:val="28"/>
          <w:szCs w:val="28"/>
        </w:rPr>
        <w:t xml:space="preserve">или) ярмарке, в том числе: затраты на организационные услуги, таможенные, транспортно-экспедиторские услуги, инженерно-технические услуги, дизайнерские услуги, аудиовизуальные услуги, переводческие </w:t>
      </w:r>
      <w:r>
        <w:rPr>
          <w:rFonts w:ascii="Times New Roman" w:hAnsi="Times New Roman" w:cs="Times New Roman"/>
          <w:sz w:val="28"/>
          <w:szCs w:val="28"/>
        </w:rPr>
        <w:t xml:space="preserve">услуги, рекламные услуги, размещение информации в каталоге (в том числе электронном каталоге) выставки и(или) ярмарки, складские услуги, охранные услуги, услуги по уборке, типографские услуги и изготовление сувенирной продукции.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Затраты, связанные с проживанием, командировочными расходами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проездными билетами, возмещению не подлежат.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Осуществление участником отбора 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дату подачи заявления.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Наличие согласия участника отбора на публикацию на сайте Комитета информации об участнике отбора, заявлении и иной информации, связанной с отбором.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Наличие согласия участника отбора на осуществление Комитетом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отношении него проверок соблюдения условий и порядка предоставления субсидий, в том числе в части достижения результата, а также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проверок соблюдения порядка и условий предоставления субсидий органами государственного финансового контроля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Бюджетным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включение таких положений в соглашение.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Наличие обязательства о достижении участником </w:t>
      </w:r>
      <w:r>
        <w:rPr>
          <w:rFonts w:ascii="Times New Roman" w:hAnsi="Times New Roman" w:cs="Times New Roman"/>
          <w:sz w:val="28"/>
          <w:szCs w:val="28"/>
        </w:rPr>
        <w:t xml:space="preserve">отбора результата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показателей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Требования, которым должен соответствовать участник отбора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дату представления заявления: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0" w:name="P99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7.1. Отсутствие у получателя субсидии неисполненной 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тыс. руб.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 xml:space="preserve">Отсутствие у участника отбора просроченной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возврату в бюджет Санкт-Петербурга субсидий, бюджетных инвестиций, предоставленных в том числе в соответствии с иными правовыми актами,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иной просроченной (неурегулированной) задолженности по денежным обязательствам перед Санкт-П</w:t>
      </w:r>
      <w:r>
        <w:rPr>
          <w:rFonts w:ascii="Times New Roman" w:hAnsi="Times New Roman" w:cs="Times New Roman"/>
          <w:sz w:val="28"/>
          <w:szCs w:val="28"/>
        </w:rPr>
        <w:t xml:space="preserve">етербургом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работ, оказанием услуг) получателями субсидий физическим лицам).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Участник отбора - юридическое лицо не должен находиться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процессе реорганизации (за исключением реорганизации в форме пр</w:t>
      </w:r>
      <w:r>
        <w:rPr>
          <w:rFonts w:ascii="Times New Roman" w:hAnsi="Times New Roman" w:cs="Times New Roman"/>
          <w:sz w:val="28"/>
          <w:szCs w:val="28"/>
        </w:rPr>
        <w:t xml:space="preserve">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Участн</w:t>
      </w:r>
      <w:r>
        <w:rPr>
          <w:rFonts w:ascii="Times New Roman" w:hAnsi="Times New Roman" w:cs="Times New Roman"/>
          <w:sz w:val="28"/>
          <w:szCs w:val="28"/>
        </w:rPr>
        <w:t xml:space="preserve">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>
        <w:rPr>
          <w:rFonts w:ascii="Times New Roman" w:hAnsi="Times New Roman" w:cs="Times New Roman"/>
          <w:sz w:val="28"/>
          <w:szCs w:val="28"/>
        </w:rPr>
        <w:t xml:space="preserve">и(</w:t>
      </w:r>
      <w:r>
        <w:rPr>
          <w:rFonts w:ascii="Times New Roman" w:hAnsi="Times New Roman" w:cs="Times New Roman"/>
          <w:sz w:val="28"/>
          <w:szCs w:val="28"/>
        </w:rPr>
        <w:t xml:space="preserve">или) не предусматривающих раскрытия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Участник отбора не должен получать средства из бюджета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 и иных бюджетов бюджетной системы Российской Федерации на финансовое обеспечение (возмещение) затрат на основании иных нормативных правовых актов (правовых актов) на цели, установленные в пункте 1.4 Порядка.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>
        <w:rPr>
          <w:rFonts w:ascii="Times New Roman" w:hAnsi="Times New Roman" w:cs="Times New Roman"/>
          <w:sz w:val="28"/>
          <w:szCs w:val="28"/>
        </w:rPr>
        <w:t xml:space="preserve">Отсутствие в реестре дисквалифицированных лиц сведений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Участник отбора не должен находиться в реестре недобросовестных поставщиков (подрядчиков, исполнителей) в связи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отказом от исполнения заключенных государственных (муниципальных) контрактов о поставке товаров, выполнении работ, оказании услуг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причине введения политических или экономических санкций иностранными государствами, совершающими недружественные действия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отношении Российской Федерации, граждан Российской Федерации или российских лиц, </w:t>
      </w:r>
      <w:r>
        <w:rPr>
          <w:rFonts w:ascii="Times New Roman" w:hAnsi="Times New Roman" w:cs="Times New Roman"/>
          <w:sz w:val="28"/>
          <w:szCs w:val="28"/>
        </w:rPr>
        <w:t xml:space="preserve">и(</w:t>
      </w:r>
      <w:r>
        <w:rPr>
          <w:rFonts w:ascii="Times New Roman" w:hAnsi="Times New Roman" w:cs="Times New Roman"/>
          <w:sz w:val="28"/>
          <w:szCs w:val="28"/>
        </w:rPr>
        <w:t xml:space="preserve">или) введением иностранными государствами, государственными объединениями, и(или) союзами, </w:t>
      </w:r>
      <w:r>
        <w:rPr>
          <w:rFonts w:ascii="Times New Roman" w:hAnsi="Times New Roman" w:cs="Times New Roman"/>
          <w:sz w:val="28"/>
          <w:szCs w:val="28"/>
        </w:rPr>
        <w:t xml:space="preserve">и(</w:t>
      </w:r>
      <w:r>
        <w:rPr>
          <w:rFonts w:ascii="Times New Roman" w:hAnsi="Times New Roman" w:cs="Times New Roman"/>
          <w:sz w:val="28"/>
          <w:szCs w:val="28"/>
        </w:rPr>
        <w:t xml:space="preserve">или) государственными (межгосударственными) учреждениями иностранных государств, или государственных объединений и(или) союзов мер ограничительного характера.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Участник отбора не должен находиться в перечне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физических лиц, в отношении которых имеются сведения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их причастности к экстремистской деятельности или терроризму, либо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>
        <w:rPr>
          <w:rFonts w:ascii="Times New Roman" w:hAnsi="Times New Roman" w:cs="Times New Roman"/>
          <w:sz w:val="28"/>
          <w:szCs w:val="28"/>
        </w:rPr>
        <w:t xml:space="preserve">Размер средней зарплаты каждого работника участника отбора (включая обособленные подразделения, находящиеся на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Санкт-Петербурга), рассчитываемый в соответствии со статьей 139 Трудово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должен быть в течение 2021 года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2021 года.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sz w:val="28"/>
          <w:szCs w:val="28"/>
        </w:rPr>
        <w:t xml:space="preserve">окумент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ы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представляемы</w:t>
      </w:r>
      <w:r>
        <w:rPr>
          <w:rFonts w:ascii="Times New Roman" w:hAnsi="Times New Roman" w:cs="Times New Roman"/>
          <w:b/>
          <w:sz w:val="28"/>
          <w:szCs w:val="28"/>
        </w:rPr>
        <w:t xml:space="preserve"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b/>
          <w:sz w:val="28"/>
          <w:szCs w:val="28"/>
        </w:rPr>
        <w:t xml:space="preserve">е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</w:t>
      </w:r>
      <w:r>
        <w:rPr>
          <w:rFonts w:ascii="Times New Roman" w:hAnsi="Times New Roman" w:cs="Times New Roman"/>
          <w:sz w:val="28"/>
          <w:szCs w:val="28"/>
        </w:rPr>
        <w:t xml:space="preserve">аявление на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доставление в 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размера субсидий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Копии</w:t>
      </w:r>
      <w:r>
        <w:rPr>
          <w:rFonts w:ascii="Times New Roman" w:hAnsi="Times New Roman" w:cs="Times New Roman"/>
          <w:sz w:val="28"/>
          <w:szCs w:val="28"/>
        </w:rPr>
        <w:t xml:space="preserve"> учредительных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в виде электронного образа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(документа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, преобразованного в электронную форму путем сканирования с сохранением их реквизитов) (далее – скан-образ)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Скан-образы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подтверждающих назначение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должность руководителя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Скан-обр</w:t>
      </w:r>
      <w:r>
        <w:rPr>
          <w:rFonts w:ascii="Times New Roman" w:hAnsi="Times New Roman" w:cs="Times New Roman"/>
          <w:sz w:val="28"/>
          <w:szCs w:val="28"/>
        </w:rPr>
        <w:t xml:space="preserve">аз справки организации, составленной в свободной форме, заверенной подписью руководителя (уполномоченного лица) организации, подтверждающей, что размер средней заработной платы каждого работника организации (включая обособленные подразделения, находящиеся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Санкт-Петербурга), рассчитываемый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 статьей 139 Трудового кодекса Российской Федерации,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2021 года был не ниже размера минимальной заработной платы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Санкт-Петербурге, установленного региональным соглашением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минимальной заработной плате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период 2021 года.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Скан-образы контрактов (договоров), заключенных в целях обеспечения участия организации в международных выставках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и(</w:t>
      </w:r>
      <w:r>
        <w:rPr>
          <w:rFonts w:ascii="Times New Roman" w:hAnsi="Times New Roman" w:cs="Times New Roman"/>
          <w:sz w:val="28"/>
          <w:szCs w:val="28"/>
        </w:rPr>
        <w:t xml:space="preserve">или) ярмарках, с приложением актов сдачи-приемки услуг (работ)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и(или) скан-образы инвойсов, на основании которых осуществлялось участие в международных выставках и(или) ярмарках, с приложением актов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сдачи-приемки услуг (работ).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заключенные контракты (договоры) </w:t>
      </w:r>
      <w:r>
        <w:rPr>
          <w:rFonts w:ascii="Times New Roman" w:hAnsi="Times New Roman" w:cs="Times New Roman"/>
          <w:sz w:val="28"/>
          <w:szCs w:val="28"/>
        </w:rPr>
        <w:t xml:space="preserve">и(</w:t>
      </w:r>
      <w:r>
        <w:rPr>
          <w:rFonts w:ascii="Times New Roman" w:hAnsi="Times New Roman" w:cs="Times New Roman"/>
          <w:sz w:val="28"/>
          <w:szCs w:val="28"/>
        </w:rPr>
        <w:t xml:space="preserve">или) инвойсы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предполагают наличия акта сдачи-приемки услуг (работ), прилагается скан-образ иного документа, подтверждающего объем оказанных услуг (работ) и их стоимость.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Скан-образы документов (счетов, платежных поручений с отметкой банка об исполнении), подтверждающих фактическое осуществление затрат, по контрактам (договорам) </w:t>
      </w:r>
      <w:r>
        <w:rPr>
          <w:rFonts w:ascii="Times New Roman" w:hAnsi="Times New Roman" w:cs="Times New Roman"/>
          <w:sz w:val="28"/>
          <w:szCs w:val="28"/>
        </w:rPr>
        <w:t xml:space="preserve">и(</w:t>
      </w:r>
      <w:r>
        <w:rPr>
          <w:rFonts w:ascii="Times New Roman" w:hAnsi="Times New Roman" w:cs="Times New Roman"/>
          <w:sz w:val="28"/>
          <w:szCs w:val="28"/>
        </w:rPr>
        <w:t xml:space="preserve">или) инвойсам, указанным в пункте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еречня.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счетов (платежных поручений)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скан-образы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являющихся основанием для осуществления платежа.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Анкету для организаций, участвовавших в международных выставках </w:t>
      </w:r>
      <w:r>
        <w:rPr>
          <w:rFonts w:ascii="Times New Roman" w:hAnsi="Times New Roman" w:cs="Times New Roman"/>
          <w:sz w:val="28"/>
          <w:szCs w:val="28"/>
        </w:rPr>
        <w:t xml:space="preserve">и(</w:t>
      </w:r>
      <w:r>
        <w:rPr>
          <w:rFonts w:ascii="Times New Roman" w:hAnsi="Times New Roman" w:cs="Times New Roman"/>
          <w:sz w:val="28"/>
          <w:szCs w:val="28"/>
        </w:rPr>
        <w:t xml:space="preserve">или) ярмарка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Дополнительно: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от имени юридического лица действует уполномоченное лицо, не являющееся руководителем юридического лица, представляется скан-образ доверенности уполномоченного лица, либо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скан-образ договора, в том числе договора между представителем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представляемым, между представляемым и третьим лицом, либо скан-образ решения собрания, указанного в статье 181.1 Гражданского кодекса Российской Федерации.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иностранном языке также прилагается перевод данных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русский язык.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В случае проведения расчетов (платежей) в иностранной валюте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заявлению (расчету) должна быть приложена справка в произвольной форме о курсе данной валюты по отношению к российскому рублю на дату осуществления платежа по данным Центрального банка Российской Федерации.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Скан-образы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представляемых документов должны соответствовать рекомендуемому формату, размещенному в личном кабинете, и иметь качество сканирования, возможное для осуществления анализа документов.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</w:t>
      </w: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к подачи заявлений участниками отбора и требовани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предъявляемы</w:t>
      </w:r>
      <w:r>
        <w:rPr>
          <w:rFonts w:ascii="Times New Roman" w:hAnsi="Times New Roman" w:cs="Times New Roman"/>
          <w:b/>
          <w:sz w:val="28"/>
          <w:szCs w:val="28"/>
        </w:rPr>
        <w:t xml:space="preserve">е</w:t>
      </w:r>
      <w:r>
        <w:rPr>
          <w:rFonts w:ascii="Times New Roman" w:hAnsi="Times New Roman" w:cs="Times New Roman"/>
          <w:b/>
          <w:sz w:val="28"/>
          <w:szCs w:val="28"/>
        </w:rPr>
        <w:t xml:space="preserve"> к форме и содержанию заявлений и документов, подаваемых участниками 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участники отбора направляют в Комитет через личный кабинет участника отбора на сайте ГБУ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ЦРПП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заявление, заполняемое в </w:t>
      </w:r>
      <w:bookmarkStart w:id="1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форме в личном кабинете на сайте ГБУ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ЦРПП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утвержденной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подписанное усиленной квалифицированной электронной подписью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УКЭП) руководителя или иного уполномоченного лица участника отбора, с приложением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вышеуказанных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размера субсидий заполняется в электронной форме в личном кабинете на сайте ГБУ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ЦРПП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Распоряжением Комитета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23.09.2022 № 3669-р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Анкета для организаций,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участвовавших в международных выставках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или) ярмарках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в электронной форме в личном кабинете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ГБУ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ЦРПП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Распоряжением Комитета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23.09.2022 № 3669-р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прочие документы подаются в виде скан-образов.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направляются участниками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отбора в срок и время, которые указаны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 xml:space="preserve">объявлении.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должны быть подписаны УКЭП руководителя или иного уполномоченного лица участника отбора.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Скан-образы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предоставляемых документов должны соответствовать рекомендуемому формату, размещенному в личном кабинете, и иметь качество сканирования, возможное для осуществления анализа документов.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и документов дополнительные документы от участников отбора не принимаются.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</w:t>
      </w: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к отзыва заявлений и документов, порядка возврата заявлений и документов, основания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возврата заявлений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до даты принятия Комитетом решения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субсидий (об отказе в предоставлении субсидий) вправе отозвать заявление и документы через личный кабинет на сайте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ГБУ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ЦРПП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запросом, подписанным УКЭП руководителя или иного уполномоченного лица </w:t>
      </w:r>
      <w:r>
        <w:rPr>
          <w:rFonts w:ascii="Times New Roman" w:hAnsi="Times New Roman" w:cs="Times New Roman"/>
          <w:sz w:val="28"/>
          <w:szCs w:val="28"/>
        </w:rPr>
        <w:t xml:space="preserve">участника отбора.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рассмотрения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оце</w:t>
      </w:r>
      <w:r>
        <w:rPr>
          <w:rFonts w:ascii="Times New Roman" w:hAnsi="Times New Roman" w:cs="Times New Roman"/>
          <w:b/>
          <w:sz w:val="28"/>
          <w:szCs w:val="28"/>
        </w:rPr>
        <w:t xml:space="preserve">нки заявлений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документов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участников отбора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участникам отбора исходя из соответствия участника отбора категории отбора, установленной в пункте 1.3 Порядка,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очередности поступления заявлений участников отбора на предоставление субсидий в Комитет до исчерпания бюджетных ассигнований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предоставление субсидий в соответствии со сроком, установленным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 xml:space="preserve">объявлении.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бюджетных ассигнований на предоставление субсидий на официальном сайте Комитета размещается объявление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окончании приема заявлений.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ЦРПП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документов: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Обеспечивает Комитету доступ к заявлению и документам с целью их проверки.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Проверяет заявление на соответствие установленной форме заявления и полноту его заполнения.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Рассматривает документы на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еречню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требованиям к ним, установленным Порядк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Проверяет заявление и документы на соответствие участника отбор</w:t>
      </w:r>
      <w:r>
        <w:rPr>
          <w:rFonts w:ascii="Times New Roman" w:hAnsi="Times New Roman" w:cs="Times New Roman"/>
          <w:sz w:val="28"/>
          <w:szCs w:val="28"/>
        </w:rPr>
        <w:t xml:space="preserve">а условиям предоставления субсидий, в том числе запрашивает в порядке межведомственного информационного взаимодействия информацию в целях подтверждения соответствия участников отбора условию предоставления субсидий, установленному в пункте 2.9.7.1 Порядка.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2.7.5. По результатам рассмотрения заявления и документов формирует информацию о соответствии (несоответствии) заявления и документов форме заявления,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еречню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, соответствии (несоответствии) участника отбора условиям предоставления субсидий, установленным в пункте 2.9 Порядка, и размещает указанную информацию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ГБУ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ЦРПП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рассмотрение заявления и документов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 xml:space="preserve">конгрессно</w:t>
      </w:r>
      <w:r>
        <w:rPr>
          <w:rFonts w:ascii="Times New Roman" w:hAnsi="Times New Roman" w:cs="Times New Roman"/>
          <w:sz w:val="28"/>
          <w:szCs w:val="28"/>
        </w:rPr>
        <w:t xml:space="preserve">-выставочной деятельности Управления развития экспортной деятельности Комитета (далее - Отдел) не более 20 рабочих дней со дня регистрации заявления и документов с учетом полученной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ГБУ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ЦРПП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проверки заявления и документов Отдел обеспечивает подготовку положительного (отрицательного) заключения.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" w:name="P113"/>
      <w:r/>
      <w:bookmarkEnd w:id="2"/>
      <w:r>
        <w:rPr>
          <w:rFonts w:ascii="Times New Roman" w:hAnsi="Times New Roman" w:cs="Times New Roman"/>
          <w:sz w:val="28"/>
          <w:szCs w:val="28"/>
        </w:rPr>
        <w:t xml:space="preserve">Основаниями для подготовки отрицательного заключения Отдела являются: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условиям предоставления субсидий, установленным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2.9 </w:t>
      </w:r>
      <w:r>
        <w:rPr>
          <w:rFonts w:ascii="Times New Roman" w:hAnsi="Times New Roman" w:cs="Times New Roman"/>
          <w:sz w:val="28"/>
          <w:szCs w:val="28"/>
        </w:rPr>
        <w:t xml:space="preserve">Порядка;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документов форме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и(</w:t>
      </w:r>
      <w:r>
        <w:rPr>
          <w:rFonts w:ascii="Times New Roman" w:hAnsi="Times New Roman" w:cs="Times New Roman"/>
          <w:sz w:val="28"/>
          <w:szCs w:val="28"/>
        </w:rPr>
        <w:t xml:space="preserve">или) требованиям к документам, установленным Порядком, или непредставление (представление не в полном объеме) указанных документов;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отбора информации,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том числе информации о месте нахождения и адресе участника отбора;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заявления и документов после даты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и(</w:t>
      </w:r>
      <w:r>
        <w:rPr>
          <w:rFonts w:ascii="Times New Roman" w:hAnsi="Times New Roman" w:cs="Times New Roman"/>
          <w:sz w:val="28"/>
          <w:szCs w:val="28"/>
        </w:rPr>
        <w:t xml:space="preserve">или) времени, определенных для их подачи;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бюджетных ассигнований для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дату рассмотрения заявления.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подготовки положительного заключения Отдела является отсутствие оснований для подготовки отрицательного заключения Отдела.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в составе документов участником отбора документов в части затрат, не подлежащих возмещению,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и(</w:t>
      </w:r>
      <w:r>
        <w:rPr>
          <w:rFonts w:ascii="Times New Roman" w:hAnsi="Times New Roman" w:cs="Times New Roman"/>
          <w:sz w:val="28"/>
          <w:szCs w:val="28"/>
        </w:rPr>
        <w:t xml:space="preserve">или) непредставления документов на указанную в заявлении часть затрат и(или) в случае наличия арифметических ошибок в расчете размера фактически предоставляемых субсидий Отдел подготавливает положительное заключение и отражает в нем данную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указанием суммы принимаемых (не принимаемых) к возмещению затрат.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субсидий принимается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отрицательным заключением Отдела по основаниям, установленным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2.14 </w:t>
      </w:r>
      <w:r>
        <w:rPr>
          <w:rFonts w:ascii="Times New Roman" w:hAnsi="Times New Roman" w:cs="Times New Roman"/>
          <w:sz w:val="28"/>
          <w:szCs w:val="28"/>
        </w:rPr>
        <w:t xml:space="preserve">Порядка, оформляется письмом Комитета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направляется участнику отбора ГБУ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ЦРПП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указанному в заявлении, в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 дня принятия Комитетом решения об отказе в предоставлении субсидий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указанием причин отказа.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семи рабочих дней со дня подготовки положительного заключения Отдела издается распоряжение Коми</w:t>
      </w:r>
      <w:r>
        <w:rPr>
          <w:rFonts w:ascii="Times New Roman" w:hAnsi="Times New Roman" w:cs="Times New Roman"/>
          <w:sz w:val="28"/>
          <w:szCs w:val="28"/>
        </w:rPr>
        <w:t xml:space="preserve">тета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, в котором указываются получатель субсидий и размер предоставляемых субсидий.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оряд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представления участникам отбора разъяснений положений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такого представления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вправе направить в Комитет в письменной форме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документа, подписанного УКЭП руководителя или иного уполномоченного лица, в том числе на адрес электронной почты Комитета info@cipit.gov.spb.ru, запрос о даче разъяснений положений, содержащихся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 xml:space="preserve">объявлении.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четырех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настоящем </w:t>
      </w:r>
      <w:r>
        <w:rPr>
          <w:rFonts w:ascii="Times New Roman" w:hAnsi="Times New Roman" w:cs="Times New Roman"/>
          <w:sz w:val="28"/>
          <w:szCs w:val="28"/>
        </w:rPr>
        <w:t xml:space="preserve">объявлении, если указанный запрос поступил в Комитет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позднее</w:t>
      </w:r>
      <w:r>
        <w:rPr>
          <w:rFonts w:ascii="Times New Roman" w:hAnsi="Times New Roman" w:cs="Times New Roman"/>
          <w:sz w:val="28"/>
          <w:szCs w:val="28"/>
        </w:rPr>
        <w:t xml:space="preserve"> чем за семь дней до даты окончания срока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документов.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</w:t>
      </w:r>
      <w:r>
        <w:rPr>
          <w:rFonts w:ascii="Times New Roman" w:hAnsi="Times New Roman" w:cs="Times New Roman"/>
          <w:b/>
          <w:sz w:val="28"/>
          <w:szCs w:val="28"/>
        </w:rPr>
        <w:t xml:space="preserve">рок, в течение которого победитель отбора должен подписать соглашение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должно быть подписано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ГБУ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ЦРПП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УКЭП получателя субсидий или иного уполномоченного лица не позднее пяти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получения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подписанного Комитетом проекта соглашения.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распоряжения Комитета и проект соглашения, подписанный УКЭП должностного лица Комитета, ответственного за предоставление субсидий, направляются получателю субсидий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ГБУ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ЦРПП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принятия распоряжения Комитета.</w:t>
      </w:r>
      <w:r/>
    </w:p>
    <w:p>
      <w:pPr>
        <w:ind w:firstLine="709"/>
        <w:jc w:val="both"/>
        <w:spacing w:after="0" w:line="240" w:lineRule="auto"/>
        <w:tabs>
          <w:tab w:val="left" w:pos="528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слови</w:t>
      </w:r>
      <w:r>
        <w:rPr>
          <w:rFonts w:ascii="Times New Roman" w:hAnsi="Times New Roman" w:cs="Times New Roman"/>
          <w:b/>
          <w:sz w:val="28"/>
          <w:szCs w:val="28"/>
        </w:rPr>
        <w:t xml:space="preserve">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признания победителя отбора уклони</w:t>
      </w:r>
      <w:r>
        <w:rPr>
          <w:rFonts w:ascii="Times New Roman" w:hAnsi="Times New Roman" w:cs="Times New Roman"/>
          <w:b/>
          <w:sz w:val="28"/>
          <w:szCs w:val="28"/>
        </w:rPr>
        <w:t xml:space="preserve">вшимся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от заключения соглашения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течение пяти рабочих дней с даты получения подписанного Комитетом проекта соглашения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получатель субсидий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подписал проект соглашения и не направил информацию о выставлении счета для перечисления средств субсидий через личный кабинет </w:t>
      </w:r>
      <w:r>
        <w:rPr>
          <w:rFonts w:ascii="Times New Roman" w:hAnsi="Times New Roman" w:cs="Times New Roman"/>
          <w:sz w:val="28"/>
          <w:szCs w:val="28"/>
        </w:rPr>
        <w:t xml:space="preserve">на сайте ГБУ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ЦРПП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он признается уклонившимся от заключения соглашения,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распоряжение Комитета подлежит признанию утратившим силу в части получателя субсидий, уклонившегося от заключения соглашения.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sz w:val="28"/>
          <w:szCs w:val="28"/>
        </w:rPr>
        <w:t xml:space="preserve">аты размещения результатов отбор</w:t>
      </w:r>
      <w:r>
        <w:rPr>
          <w:rFonts w:ascii="Times New Roman" w:hAnsi="Times New Roman" w:cs="Times New Roman"/>
          <w:b/>
          <w:sz w:val="28"/>
          <w:szCs w:val="28"/>
        </w:rPr>
        <w:t xml:space="preserve">а на сайте Комитета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заявлений и документов размещается на сайте Комитета не позднее 14 рабочего дня, следующего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днем определения победителя (победителей) отбора, и включает в себя следующие сведения: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заявлений и документов;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заявления и документы которых были рассмотрены;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заявления и документы которых были отклонены, с указанием причин их отклонения, в том числе положений объявления, которым не соответствуют такие заявления и документы;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получателя (получателей) субсидий, с которым (которыми) заключается соглашение, и размер предоставляемых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ему (им) субсидий.</w:t>
      </w:r>
      <w:r/>
    </w:p>
    <w:p>
      <w:pPr>
        <w:pStyle w:val="6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определения победителя (победителей) отбора считается день принятия распоряжения Комитета.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31299591"/>
      <w:docPartObj>
        <w:docPartGallery w:val="Page Numbers (Top of Page)"/>
        <w:docPartUnique w:val="true"/>
      </w:docPartObj>
      <w:rPr/>
    </w:sdtPr>
    <w:sdtContent>
      <w:p>
        <w:pPr>
          <w:pStyle w:val="66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7</w:t>
        </w:r>
        <w:r>
          <w:fldChar w:fldCharType="end"/>
        </w:r>
        <w:r/>
      </w:p>
    </w:sdtContent>
  </w:sdt>
  <w:p>
    <w:pPr>
      <w:pStyle w:val="66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8"/>
    <w:next w:val="65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5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8"/>
    <w:next w:val="65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5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5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5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5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5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8"/>
    <w:uiPriority w:val="34"/>
    <w:qFormat/>
    <w:pPr>
      <w:contextualSpacing/>
      <w:ind w:left="720"/>
    </w:p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59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59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9"/>
    <w:link w:val="666"/>
    <w:uiPriority w:val="99"/>
  </w:style>
  <w:style w:type="character" w:styleId="43">
    <w:name w:val="Footer Char"/>
    <w:basedOn w:val="659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6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9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9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 w:customStyle="1">
    <w:name w:val="ConsPlusNormal"/>
    <w:qFormat/>
    <w:pPr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paragraph" w:styleId="663">
    <w:name w:val="No Spacing"/>
    <w:uiPriority w:val="1"/>
    <w:qFormat/>
    <w:pPr>
      <w:spacing w:after="0" w:line="240" w:lineRule="auto"/>
    </w:pPr>
  </w:style>
  <w:style w:type="character" w:styleId="664">
    <w:name w:val="Hyperlink"/>
    <w:basedOn w:val="659"/>
    <w:uiPriority w:val="99"/>
    <w:unhideWhenUsed/>
    <w:rPr>
      <w:color w:val="0000FF" w:themeColor="hyperlink"/>
      <w:u w:val="single"/>
    </w:rPr>
  </w:style>
  <w:style w:type="character" w:styleId="665">
    <w:name w:val="FollowedHyperlink"/>
    <w:basedOn w:val="659"/>
    <w:uiPriority w:val="99"/>
    <w:semiHidden/>
    <w:unhideWhenUsed/>
    <w:rPr>
      <w:color w:val="800080" w:themeColor="followedHyperlink"/>
      <w:u w:val="single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59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59"/>
    <w:link w:val="66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Таисия Михайловна</dc:creator>
  <cp:lastModifiedBy>Даниил Щербина</cp:lastModifiedBy>
  <cp:revision>11</cp:revision>
  <dcterms:created xsi:type="dcterms:W3CDTF">2022-09-20T08:50:00Z</dcterms:created>
  <dcterms:modified xsi:type="dcterms:W3CDTF">2022-10-11T22:02:50Z</dcterms:modified>
</cp:coreProperties>
</file>